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0D" w:rsidRPr="004D3A8F" w:rsidRDefault="00E44A0D" w:rsidP="001671CA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313840"/>
          <w:sz w:val="21"/>
          <w:szCs w:val="21"/>
        </w:rPr>
      </w:pPr>
      <w:r w:rsidRPr="004D3A8F">
        <w:rPr>
          <w:rFonts w:asciiTheme="minorHAnsi" w:hAnsiTheme="minorHAnsi" w:cstheme="minorHAnsi"/>
          <w:b/>
          <w:sz w:val="32"/>
          <w:szCs w:val="32"/>
        </w:rPr>
        <w:t xml:space="preserve">Procedura ristretta ai sensi dell’art. 61 del d. </w:t>
      </w:r>
      <w:proofErr w:type="spellStart"/>
      <w:r w:rsidRPr="004D3A8F">
        <w:rPr>
          <w:rFonts w:asciiTheme="minorHAnsi" w:hAnsiTheme="minorHAnsi" w:cstheme="minorHAnsi"/>
          <w:b/>
          <w:sz w:val="32"/>
          <w:szCs w:val="32"/>
        </w:rPr>
        <w:t>lgs</w:t>
      </w:r>
      <w:proofErr w:type="spellEnd"/>
      <w:r w:rsidRPr="004D3A8F">
        <w:rPr>
          <w:rFonts w:asciiTheme="minorHAnsi" w:hAnsiTheme="minorHAnsi" w:cstheme="minorHAnsi"/>
          <w:b/>
          <w:sz w:val="32"/>
          <w:szCs w:val="32"/>
        </w:rPr>
        <w:t>. 18 aprile 2016, n. 50, per servizi di manutenzione impianti per la Corte costituzionale – CPV 45259000-7; 50711000-2; CIG 9723859E48</w:t>
      </w:r>
    </w:p>
    <w:p w:rsidR="00E44A0D" w:rsidRPr="004D3A8F" w:rsidRDefault="00E44A0D" w:rsidP="00E44A0D">
      <w:pPr>
        <w:jc w:val="center"/>
        <w:rPr>
          <w:rFonts w:cstheme="minorHAnsi"/>
          <w:color w:val="000000" w:themeColor="text1"/>
        </w:rPr>
      </w:pPr>
      <w:r w:rsidRPr="004D3A8F">
        <w:rPr>
          <w:rFonts w:cstheme="minorHAnsi"/>
          <w:b/>
          <w:color w:val="000000" w:themeColor="text1"/>
          <w:sz w:val="32"/>
          <w:szCs w:val="32"/>
        </w:rPr>
        <w:t>Chiarimenti</w:t>
      </w:r>
    </w:p>
    <w:p w:rsidR="001671CA" w:rsidRPr="004D3A8F" w:rsidRDefault="001671CA" w:rsidP="001671CA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13840"/>
          <w:sz w:val="21"/>
          <w:szCs w:val="21"/>
        </w:rPr>
      </w:pPr>
    </w:p>
    <w:p w:rsidR="001671CA" w:rsidRPr="004D3A8F" w:rsidRDefault="001671CA" w:rsidP="00E44A0D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>Si chiede se il contratto di avvalimento con la relativa documentazione amministrativa debba essere prodotto già in questa fase oppure in fase di procedura laddove l'opera</w:t>
      </w:r>
      <w:r w:rsidR="00E44A0D"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>tore economico risulti invitato.</w:t>
      </w:r>
    </w:p>
    <w:p w:rsidR="00E44A0D" w:rsidRPr="004D3A8F" w:rsidRDefault="00E44A0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D51E9D" w:rsidRPr="004D3A8F" w:rsidRDefault="00D51E9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D51E9D" w:rsidRPr="004D3A8F" w:rsidRDefault="001671CA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La risposta è affermativa: il contratto di avvalimento va già prodotto in questa fase, come indicato nella parte dell'avviso relativa alla redazione del DGUE</w:t>
      </w:r>
      <w:r w:rsidR="00E44A0D"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(par. 11</w:t>
      </w: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.</w:t>
      </w:r>
      <w:r w:rsidR="00E44A0D"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2)</w:t>
      </w:r>
      <w:r w:rsidR="00AE4BA0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.</w:t>
      </w:r>
    </w:p>
    <w:p w:rsidR="00E44A0D" w:rsidRPr="004D3A8F" w:rsidRDefault="00E44A0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1671CA" w:rsidRPr="004D3A8F" w:rsidRDefault="001671CA" w:rsidP="00E44A0D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>Si chiede di specificare la tipologia di impianti ricompresi all'interno della suddetta procedura.</w:t>
      </w:r>
    </w:p>
    <w:p w:rsidR="00E44A0D" w:rsidRPr="004D3A8F" w:rsidRDefault="00E44A0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D51E9D" w:rsidRPr="004D3A8F" w:rsidRDefault="00D51E9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1671CA" w:rsidRPr="004D3A8F" w:rsidRDefault="001671CA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Il servizio di manutenzione e conduzione prevede la gestione dei seguenti impianti:</w:t>
      </w:r>
    </w:p>
    <w:p w:rsidR="001671CA" w:rsidRPr="004D3A8F" w:rsidRDefault="001671CA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-          Impianti elettrici;</w:t>
      </w:r>
    </w:p>
    <w:p w:rsidR="001671CA" w:rsidRPr="004D3A8F" w:rsidRDefault="001671CA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-          Impianti di riscaldamento e di climatizzazione;</w:t>
      </w:r>
    </w:p>
    <w:p w:rsidR="001671CA" w:rsidRPr="004D3A8F" w:rsidRDefault="001671CA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-          Impianto idrico sanitario;</w:t>
      </w:r>
    </w:p>
    <w:p w:rsidR="001671CA" w:rsidRPr="004D3A8F" w:rsidRDefault="001671CA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-          Impianto rilevazione incendi;</w:t>
      </w:r>
    </w:p>
    <w:p w:rsidR="001671CA" w:rsidRPr="004D3A8F" w:rsidRDefault="001671CA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-          Impianto idrico antincendio;</w:t>
      </w:r>
    </w:p>
    <w:p w:rsidR="001671CA" w:rsidRPr="004D3A8F" w:rsidRDefault="001671CA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-          Impianto TV CC;</w:t>
      </w:r>
    </w:p>
    <w:p w:rsidR="001671CA" w:rsidRPr="004D3A8F" w:rsidRDefault="001671CA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-          Impianto fonia (cablaggio passivo);</w:t>
      </w:r>
    </w:p>
    <w:p w:rsidR="001671CA" w:rsidRPr="004D3A8F" w:rsidRDefault="001671CA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-          Impianto trasmissione dati (cablaggio passivo).</w:t>
      </w:r>
    </w:p>
    <w:p w:rsidR="001341EE" w:rsidRPr="004D3A8F" w:rsidRDefault="001341EE" w:rsidP="00252F4D">
      <w:pPr>
        <w:pStyle w:val="NormaleWeb"/>
        <w:shd w:val="clear" w:color="auto" w:fill="FFFFFF"/>
        <w:spacing w:before="0" w:beforeAutospacing="0" w:after="150" w:afterAutospacing="0"/>
        <w:ind w:left="-142" w:hanging="142"/>
        <w:jc w:val="both"/>
        <w:rPr>
          <w:rFonts w:asciiTheme="minorHAnsi" w:hAnsiTheme="minorHAnsi" w:cstheme="minorHAnsi"/>
          <w:color w:val="313840"/>
          <w:sz w:val="21"/>
          <w:szCs w:val="21"/>
        </w:rPr>
      </w:pPr>
    </w:p>
    <w:p w:rsidR="00D51E9D" w:rsidRPr="004D3A8F" w:rsidRDefault="00D51E9D" w:rsidP="00E44A0D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>Si richiede di confermare che la comprova del requisito di capacità tecnica e professionale possa essere fatta anche tramite presentazione del contratto con relative fatture quietanzate.</w:t>
      </w:r>
    </w:p>
    <w:p w:rsidR="00E44A0D" w:rsidRPr="004D3A8F" w:rsidRDefault="00E44A0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D51E9D" w:rsidRPr="004D3A8F" w:rsidRDefault="00D51E9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D51E9D" w:rsidRPr="004D3A8F" w:rsidRDefault="00D51E9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Si conferma</w:t>
      </w:r>
      <w:r w:rsidR="00AE4BA0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.</w:t>
      </w:r>
    </w:p>
    <w:p w:rsidR="00915098" w:rsidRPr="004D3A8F" w:rsidRDefault="00915098" w:rsidP="00D51E9D">
      <w:pPr>
        <w:pStyle w:val="NormaleWeb"/>
        <w:shd w:val="clear" w:color="auto" w:fill="FFFFFF"/>
        <w:spacing w:before="0" w:beforeAutospacing="0" w:after="150" w:afterAutospacing="0"/>
        <w:ind w:left="142"/>
        <w:rPr>
          <w:rFonts w:asciiTheme="minorHAnsi" w:hAnsiTheme="minorHAnsi" w:cstheme="minorHAnsi"/>
          <w:i/>
          <w:color w:val="313840"/>
          <w:sz w:val="21"/>
          <w:szCs w:val="21"/>
        </w:rPr>
      </w:pPr>
    </w:p>
    <w:p w:rsidR="00915098" w:rsidRPr="004D3A8F" w:rsidRDefault="00E44A0D" w:rsidP="00E44A0D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>C</w:t>
      </w:r>
      <w:r w:rsidR="00915098"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>on riferimento alla procedura indicata in oggetto sono a chiedere se, con avvalimento, è possibile dimostrare i seguenti requisiti:</w:t>
      </w:r>
    </w:p>
    <w:p w:rsidR="00915098" w:rsidRPr="004D3A8F" w:rsidRDefault="00915098" w:rsidP="00E44A0D">
      <w:pPr>
        <w:pStyle w:val="NormaleWeb"/>
        <w:shd w:val="clear" w:color="auto" w:fill="FFFFFF"/>
        <w:spacing w:before="0" w:beforeAutospacing="0" w:after="150" w:afterAutospacing="0"/>
        <w:ind w:left="708"/>
        <w:jc w:val="both"/>
        <w:rPr>
          <w:rFonts w:asciiTheme="minorHAnsi" w:hAnsiTheme="minorHAnsi" w:cstheme="minorHAnsi"/>
          <w:color w:val="313840"/>
          <w:sz w:val="21"/>
          <w:szCs w:val="21"/>
        </w:rPr>
      </w:pPr>
      <w:r w:rsidRPr="004D3A8F">
        <w:rPr>
          <w:rFonts w:asciiTheme="minorHAnsi" w:hAnsiTheme="minorHAnsi" w:cstheme="minorHAnsi"/>
          <w:color w:val="313840"/>
          <w:sz w:val="21"/>
          <w:szCs w:val="21"/>
        </w:rPr>
        <w:t>- </w:t>
      </w:r>
      <w:r w:rsidRPr="004D3A8F">
        <w:rPr>
          <w:rStyle w:val="Enfasigrassetto"/>
          <w:rFonts w:asciiTheme="minorHAnsi" w:hAnsiTheme="minorHAnsi" w:cstheme="minorHAnsi"/>
          <w:color w:val="313840"/>
          <w:sz w:val="21"/>
          <w:szCs w:val="21"/>
        </w:rPr>
        <w:t>Fatturato specifico minimo annuo</w:t>
      </w:r>
      <w:r w:rsidRPr="004D3A8F">
        <w:rPr>
          <w:rFonts w:asciiTheme="minorHAnsi" w:hAnsiTheme="minorHAnsi" w:cstheme="minorHAnsi"/>
          <w:color w:val="313840"/>
          <w:sz w:val="21"/>
          <w:szCs w:val="21"/>
        </w:rPr>
        <w:t> nel settore di attività oggetto dell’appalto riferito a ciascuno degli ultimi n. 3 esercizi finanziari disponibili ovverosia approvati, alla data di scadenza del termine per la presentazione della manifestazione di interesse,</w:t>
      </w:r>
      <w:r w:rsidR="004C3667">
        <w:rPr>
          <w:rFonts w:asciiTheme="minorHAnsi" w:hAnsiTheme="minorHAnsi" w:cstheme="minorHAnsi"/>
          <w:color w:val="313840"/>
          <w:sz w:val="21"/>
          <w:szCs w:val="21"/>
        </w:rPr>
        <w:t xml:space="preserve"> </w:t>
      </w:r>
      <w:r w:rsidR="004C3667">
        <w:rPr>
          <w:rStyle w:val="Enfasigrassetto"/>
          <w:rFonts w:asciiTheme="minorHAnsi" w:hAnsiTheme="minorHAnsi" w:cstheme="minorHAnsi"/>
          <w:color w:val="313840"/>
          <w:sz w:val="21"/>
          <w:szCs w:val="21"/>
        </w:rPr>
        <w:t xml:space="preserve">pari a euro </w:t>
      </w:r>
      <w:r w:rsidRPr="004D3A8F">
        <w:rPr>
          <w:rStyle w:val="Enfasigrassetto"/>
          <w:rFonts w:asciiTheme="minorHAnsi" w:hAnsiTheme="minorHAnsi" w:cstheme="minorHAnsi"/>
          <w:color w:val="313840"/>
          <w:sz w:val="21"/>
          <w:szCs w:val="21"/>
        </w:rPr>
        <w:t>1.000.000,00</w:t>
      </w:r>
      <w:r w:rsidRPr="004D3A8F">
        <w:rPr>
          <w:rFonts w:asciiTheme="minorHAnsi" w:hAnsiTheme="minorHAnsi" w:cstheme="minorHAnsi"/>
          <w:color w:val="313840"/>
          <w:sz w:val="21"/>
          <w:szCs w:val="21"/>
        </w:rPr>
        <w:t>.</w:t>
      </w:r>
    </w:p>
    <w:p w:rsidR="00915098" w:rsidRPr="004D3A8F" w:rsidRDefault="00915098" w:rsidP="00E44A0D">
      <w:pPr>
        <w:pStyle w:val="NormaleWeb"/>
        <w:shd w:val="clear" w:color="auto" w:fill="FFFFFF"/>
        <w:spacing w:before="0" w:beforeAutospacing="0" w:after="150" w:afterAutospacing="0"/>
        <w:ind w:left="708"/>
        <w:jc w:val="both"/>
        <w:rPr>
          <w:rFonts w:asciiTheme="minorHAnsi" w:hAnsiTheme="minorHAnsi" w:cstheme="minorHAnsi"/>
          <w:color w:val="313840"/>
          <w:sz w:val="21"/>
          <w:szCs w:val="21"/>
        </w:rPr>
      </w:pPr>
      <w:r w:rsidRPr="004D3A8F">
        <w:rPr>
          <w:rFonts w:asciiTheme="minorHAnsi" w:hAnsiTheme="minorHAnsi" w:cstheme="minorHAnsi"/>
          <w:color w:val="313840"/>
          <w:sz w:val="21"/>
          <w:szCs w:val="21"/>
        </w:rPr>
        <w:t>- Aver eseguito almeno n. 3 servizi di manutenzione impianti, per conto della Pubblica Amministrazione anche a ordinamento autonomo, enti pubblici o</w:t>
      </w:r>
      <w:r w:rsidR="00BA17F1">
        <w:rPr>
          <w:rFonts w:asciiTheme="minorHAnsi" w:hAnsiTheme="minorHAnsi" w:cstheme="minorHAnsi"/>
          <w:color w:val="313840"/>
          <w:sz w:val="21"/>
          <w:szCs w:val="21"/>
        </w:rPr>
        <w:t xml:space="preserve"> privati di interesse pubblico, </w:t>
      </w:r>
      <w:bookmarkStart w:id="0" w:name="_GoBack"/>
      <w:bookmarkEnd w:id="0"/>
      <w:r w:rsidRPr="004D3A8F">
        <w:rPr>
          <w:rStyle w:val="Enfasigrassetto"/>
          <w:rFonts w:asciiTheme="minorHAnsi" w:hAnsiTheme="minorHAnsi" w:cstheme="minorHAnsi"/>
          <w:color w:val="313840"/>
          <w:sz w:val="21"/>
          <w:szCs w:val="21"/>
        </w:rPr>
        <w:t>ciascuno di valore non inferiore a euro 750.000,00</w:t>
      </w:r>
      <w:r w:rsidRPr="004D3A8F">
        <w:rPr>
          <w:rFonts w:asciiTheme="minorHAnsi" w:hAnsiTheme="minorHAnsi" w:cstheme="minorHAnsi"/>
          <w:color w:val="313840"/>
          <w:sz w:val="21"/>
          <w:szCs w:val="21"/>
        </w:rPr>
        <w:t>, con attestazione di regolare esecuzione da parte dell’amministrazione destinataria.</w:t>
      </w:r>
    </w:p>
    <w:p w:rsidR="00E44A0D" w:rsidRPr="004D3A8F" w:rsidRDefault="00E44A0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915098" w:rsidRPr="004D3A8F" w:rsidRDefault="00915098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Si conferma che è possibile ricorrere all'avvalimento per dimostrare il possesso dei requisiti indicati nel chiarimento.</w:t>
      </w:r>
    </w:p>
    <w:p w:rsidR="00915098" w:rsidRPr="004D3A8F" w:rsidRDefault="00915098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Naturalmente si rimanda a quanto stabilito dalla normativa e dalla giurisprudenza in materia di effettività dell'avvalimento.</w:t>
      </w:r>
    </w:p>
    <w:p w:rsidR="00252F4D" w:rsidRPr="004D3A8F" w:rsidRDefault="00252F4D" w:rsidP="00E44A0D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lastRenderedPageBreak/>
        <w:t xml:space="preserve">Si chiede conferma che il requisito di cui al paragrafo 7.2 </w:t>
      </w:r>
      <w:proofErr w:type="spellStart"/>
      <w:r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>lett</w:t>
      </w:r>
      <w:proofErr w:type="spellEnd"/>
      <w:r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>. c) dell’Avviso di indizione di gara (Fatturato specifico minimo annuo nel settore di attività oggetto dell’appalto riferito a ciascuno degli ultimi n. 3 esercizi finanziari disponibili ovverosia approvati, alla data di scadenza del termine per la presentazione della manifestazione di interesse, pari a euro 1.000.000,00) sia comprovabile mediante presentazione di copia delle attestazioni di avvenuto servizio rilas</w:t>
      </w:r>
      <w:r w:rsidR="00E44A0D"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>ciate dalla Stazioni Appaltanti.</w:t>
      </w:r>
    </w:p>
    <w:p w:rsidR="00E44A0D" w:rsidRPr="004D3A8F" w:rsidRDefault="00E44A0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CB5267" w:rsidRPr="004D3A8F" w:rsidRDefault="00E44A0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</w:t>
      </w:r>
      <w:r w:rsidR="00CB5267"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isposta</w:t>
      </w:r>
    </w:p>
    <w:p w:rsidR="00CB5267" w:rsidRPr="004D3A8F" w:rsidRDefault="00CB5267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Si conferma.</w:t>
      </w:r>
    </w:p>
    <w:p w:rsidR="00915098" w:rsidRPr="004D3A8F" w:rsidRDefault="00915098" w:rsidP="00915098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13840"/>
          <w:sz w:val="21"/>
          <w:szCs w:val="21"/>
        </w:rPr>
      </w:pPr>
    </w:p>
    <w:p w:rsidR="00CB5267" w:rsidRPr="004D3A8F" w:rsidRDefault="00CB5267" w:rsidP="00E44A0D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Si chiede conferma che ai fini del soddisfacimento del requisito di cui al paragrafo 7.3 </w:t>
      </w:r>
      <w:proofErr w:type="spellStart"/>
      <w:r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>lett</w:t>
      </w:r>
      <w:proofErr w:type="spellEnd"/>
      <w:r w:rsidRPr="004D3A8F">
        <w:rPr>
          <w:rFonts w:cstheme="minorHAnsi"/>
          <w:color w:val="000000" w:themeColor="text1"/>
          <w:sz w:val="21"/>
          <w:szCs w:val="21"/>
          <w:shd w:val="clear" w:color="auto" w:fill="FFFFFF"/>
        </w:rPr>
        <w:t>. d) dell’Avviso di indizione di gara (Aver eseguito almeno n. 3 servizi di pulizie, per conto della Pubblica Amministrazione anche a ordinamento autonomo, enti pubblici o privati di interesse pubblico, ciascuno di valore non inferiore a euro 750.000,00, con attestazione di regolare esecuzione da parte dell’amministrazione destinataria) l’importo di € 750.000,00 sia il valore complessivo di ciascuno dei tre contratti nel triennio dal 01.01.2020 al 31.12.2022.</w:t>
      </w:r>
    </w:p>
    <w:p w:rsidR="00E44A0D" w:rsidRPr="004D3A8F" w:rsidRDefault="00E44A0D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915098" w:rsidRPr="004D3A8F" w:rsidRDefault="00CB5267" w:rsidP="00E44A0D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A40EEA" w:rsidRDefault="00CB5267" w:rsidP="00A40EEA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Si conferma sia l’arco temporale indicato sia il fatto che l’importo fa riferimento al valore complessivo del contratto. </w:t>
      </w:r>
      <w:r w:rsidR="00A40EEA" w:rsidRPr="004D3A8F">
        <w:rPr>
          <w:rFonts w:cstheme="minorHAnsi"/>
          <w:i/>
          <w:color w:val="000000" w:themeColor="text1"/>
          <w:sz w:val="21"/>
          <w:szCs w:val="21"/>
        </w:rPr>
        <w:t>Al riguardo, al fine di favorire la più ampia partecipazione, è sufficiente avere tre contratti che coprano anche parzialmente il triennio e che prevedano un importo pari o superiore all’importo indicato, anche risultante dalle eventuali fatture. In definitiva, il requisito è soddisfatto sia nel caso in cui il contratto preveda un importo pari o superiore a 750.000 euro (indipendentemente dall’importo fatturato), sia nel caso di importo effettivo fatturato pari o superiore a 750.000 euro.</w:t>
      </w:r>
    </w:p>
    <w:p w:rsidR="00774D43" w:rsidRDefault="00774D43" w:rsidP="00A40EEA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</w:rPr>
      </w:pPr>
    </w:p>
    <w:p w:rsidR="00774D43" w:rsidRDefault="00774D43" w:rsidP="00774D43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774D43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Si chiede conferma che i requisiti di Capacità economica e finanziaria di cui all'art. 7.2 </w:t>
      </w:r>
      <w:proofErr w:type="spellStart"/>
      <w:r w:rsidRPr="00774D43">
        <w:rPr>
          <w:rFonts w:cstheme="minorHAnsi"/>
          <w:color w:val="000000" w:themeColor="text1"/>
          <w:sz w:val="21"/>
          <w:szCs w:val="21"/>
          <w:shd w:val="clear" w:color="auto" w:fill="FFFFFF"/>
        </w:rPr>
        <w:t>lett</w:t>
      </w:r>
      <w:proofErr w:type="spellEnd"/>
      <w:r w:rsidRPr="00774D43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. b) e </w:t>
      </w:r>
      <w:proofErr w:type="spellStart"/>
      <w:r w:rsidRPr="00774D43">
        <w:rPr>
          <w:rFonts w:cstheme="minorHAnsi"/>
          <w:color w:val="000000" w:themeColor="text1"/>
          <w:sz w:val="21"/>
          <w:szCs w:val="21"/>
          <w:shd w:val="clear" w:color="auto" w:fill="FFFFFF"/>
        </w:rPr>
        <w:t>lett</w:t>
      </w:r>
      <w:proofErr w:type="spellEnd"/>
      <w:r w:rsidRPr="00774D43">
        <w:rPr>
          <w:rFonts w:cstheme="minorHAnsi"/>
          <w:color w:val="000000" w:themeColor="text1"/>
          <w:sz w:val="21"/>
          <w:szCs w:val="21"/>
          <w:shd w:val="clear" w:color="auto" w:fill="FFFFFF"/>
        </w:rPr>
        <w:t>. c) dell'Avviso di indizione della presente procedura ristretta sono riferiti agli ultimi 3 esercizi finanziari dell'impresa approvati alla data di scadenza del termine per la presentazione della presente procedura di gara.</w:t>
      </w:r>
    </w:p>
    <w:p w:rsidR="00774D43" w:rsidRDefault="00774D43" w:rsidP="00774D43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774D43" w:rsidRPr="004D3A8F" w:rsidRDefault="00774D43" w:rsidP="00774D43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4D3A8F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CB5267" w:rsidRPr="00087F92" w:rsidRDefault="00774D43" w:rsidP="00087F92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087F92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Si conferma che i requisiti di capacità economica e finanziaria si riferiscono agli ultimi tre esercizi finanziari approvati alla data di scadenza del termine per la presentazione della presente procedura di gara.</w:t>
      </w:r>
    </w:p>
    <w:p w:rsidR="00087F92" w:rsidRDefault="00087F92" w:rsidP="00774D43">
      <w:pPr>
        <w:pStyle w:val="Paragrafoelenco"/>
        <w:jc w:val="both"/>
        <w:rPr>
          <w:rFonts w:cstheme="minorHAnsi"/>
          <w:iCs/>
          <w:color w:val="000000" w:themeColor="text1"/>
        </w:rPr>
      </w:pPr>
    </w:p>
    <w:p w:rsidR="00087F92" w:rsidRPr="00AE4BA0" w:rsidRDefault="00087F92" w:rsidP="00AE4BA0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AE4BA0">
        <w:rPr>
          <w:rFonts w:cstheme="minorHAnsi"/>
          <w:color w:val="000000" w:themeColor="text1"/>
          <w:sz w:val="21"/>
          <w:szCs w:val="21"/>
          <w:shd w:val="clear" w:color="auto" w:fill="FFFFFF"/>
        </w:rPr>
        <w:t>Si richiede la categoria SOA oggetto dell'appalto.</w:t>
      </w:r>
    </w:p>
    <w:p w:rsidR="00AE4BA0" w:rsidRDefault="00AE4BA0" w:rsidP="00AE4BA0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087F92" w:rsidRPr="00087F92" w:rsidRDefault="00087F92" w:rsidP="00AE4BA0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087F92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087F92" w:rsidRDefault="00087F92" w:rsidP="00AE4BA0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087F92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Non è richiesta nessuna categoria SOA.</w:t>
      </w:r>
    </w:p>
    <w:p w:rsidR="00D5129C" w:rsidRPr="00087F92" w:rsidRDefault="00D5129C" w:rsidP="00087F92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D5129C" w:rsidRDefault="00D5129C" w:rsidP="00D5129C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C</w:t>
      </w:r>
      <w:r w:rsidRPr="00D5129C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on riferimento al criterio di cui al punto 7.2 </w:t>
      </w:r>
      <w:proofErr w:type="spellStart"/>
      <w:r w:rsidRPr="00D5129C">
        <w:rPr>
          <w:rFonts w:cstheme="minorHAnsi"/>
          <w:color w:val="000000" w:themeColor="text1"/>
          <w:sz w:val="21"/>
          <w:szCs w:val="21"/>
          <w:shd w:val="clear" w:color="auto" w:fill="FFFFFF"/>
        </w:rPr>
        <w:t>let</w:t>
      </w:r>
      <w:proofErr w:type="spellEnd"/>
      <w:r w:rsidRPr="00D5129C">
        <w:rPr>
          <w:rFonts w:cstheme="minorHAnsi"/>
          <w:color w:val="000000" w:themeColor="text1"/>
          <w:sz w:val="21"/>
          <w:szCs w:val="21"/>
          <w:shd w:val="clear" w:color="auto" w:fill="FFFFFF"/>
        </w:rPr>
        <w:t>. c) dell'avviso si chiede conferma che nel servizio specifico di manutenzione impianti sia ricompresa anche la manutenzione straordinaria per il raggiungimento dell'importo minimo annuo. I CPV indicati (45259000-7 e 50711000-2), infatti, sono rubricati "servizi ripar</w:t>
      </w: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azione e manutenzione impianti".</w:t>
      </w:r>
    </w:p>
    <w:p w:rsidR="00D5129C" w:rsidRDefault="00D5129C" w:rsidP="00D5129C">
      <w:pPr>
        <w:pStyle w:val="Paragrafoelenc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:rsidR="00D5129C" w:rsidRDefault="00D5129C" w:rsidP="00AE4BA0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D5129C" w:rsidRPr="00D5129C" w:rsidRDefault="00D5129C" w:rsidP="00AE4BA0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</w:t>
      </w:r>
      <w:r w:rsidR="00AE4BA0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i conferma che </w:t>
      </w:r>
      <w:r w:rsidRPr="00D5129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nel servizio specifi</w:t>
      </w:r>
      <w:r w:rsidR="00AE4BA0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co di manutenzione impianti sia </w:t>
      </w:r>
      <w:r w:rsidRPr="00D5129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ricompresa anche la manutenzione straordinaria per il raggiungimento dell'importo minimo annuo.</w:t>
      </w:r>
    </w:p>
    <w:p w:rsidR="00D5129C" w:rsidRPr="00D5129C" w:rsidRDefault="00D5129C" w:rsidP="00D5129C">
      <w:pPr>
        <w:shd w:val="clear" w:color="auto" w:fill="FFFFFF"/>
        <w:spacing w:after="150" w:line="240" w:lineRule="auto"/>
        <w:rPr>
          <w:rFonts w:ascii="Titillium Web Regular" w:eastAsia="Times New Roman" w:hAnsi="Titillium Web Regular" w:cs="Times New Roman"/>
          <w:color w:val="313840"/>
          <w:sz w:val="21"/>
          <w:szCs w:val="21"/>
          <w:lang w:eastAsia="it-IT"/>
        </w:rPr>
      </w:pPr>
      <w:r w:rsidRPr="00D5129C">
        <w:rPr>
          <w:rFonts w:ascii="Titillium Web Regular" w:eastAsia="Times New Roman" w:hAnsi="Titillium Web Regular" w:cs="Times New Roman"/>
          <w:color w:val="313840"/>
          <w:sz w:val="21"/>
          <w:szCs w:val="21"/>
          <w:lang w:eastAsia="it-IT"/>
        </w:rPr>
        <w:t> </w:t>
      </w:r>
    </w:p>
    <w:p w:rsidR="00D5129C" w:rsidRPr="00D5129C" w:rsidRDefault="00D5129C" w:rsidP="00D5129C">
      <w:pPr>
        <w:pStyle w:val="Paragrafoelenc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:rsidR="00D5129C" w:rsidRPr="00D5129C" w:rsidRDefault="00D5129C" w:rsidP="00D5129C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lastRenderedPageBreak/>
        <w:t>C</w:t>
      </w:r>
      <w:r w:rsidRPr="00D5129C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on riferimento al criterio di cui al punto 7.3 </w:t>
      </w:r>
      <w:proofErr w:type="spellStart"/>
      <w:r w:rsidRPr="00D5129C">
        <w:rPr>
          <w:rFonts w:cstheme="minorHAnsi"/>
          <w:color w:val="000000" w:themeColor="text1"/>
          <w:sz w:val="21"/>
          <w:szCs w:val="21"/>
          <w:shd w:val="clear" w:color="auto" w:fill="FFFFFF"/>
        </w:rPr>
        <w:t>let</w:t>
      </w:r>
      <w:proofErr w:type="spellEnd"/>
      <w:r w:rsidRPr="00D5129C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. d) dell'avviso si chiede conferma che l'esecuzione dei 3 </w:t>
      </w:r>
      <w:r w:rsidR="00AE4BA0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servizi possa essere dimostrata </w:t>
      </w:r>
      <w:r w:rsidRPr="00D5129C">
        <w:rPr>
          <w:rFonts w:cstheme="minorHAnsi"/>
          <w:color w:val="000000" w:themeColor="text1"/>
          <w:sz w:val="21"/>
          <w:szCs w:val="21"/>
          <w:shd w:val="clear" w:color="auto" w:fill="FFFFFF"/>
        </w:rPr>
        <w:t>anche mediante attestazioni sul fatturato rilasciate dal cliente (quindi per appalti ancora in corso) o comunque mediante contratti e fatture.</w:t>
      </w:r>
    </w:p>
    <w:p w:rsidR="00D5129C" w:rsidRDefault="00D5129C" w:rsidP="00D5129C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D5129C" w:rsidRDefault="00D5129C" w:rsidP="00AE4BA0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D5129C" w:rsidRPr="00D5129C" w:rsidRDefault="00D5129C" w:rsidP="00AE4BA0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D5129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Si conferma che</w:t>
      </w:r>
      <w:r w:rsidR="00AE4BA0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D5129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l'esecuzione dei 3 servizi possa essere dimostrata</w:t>
      </w:r>
      <w:r w:rsidR="00AE4BA0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D5129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anche mediante attestazioni sul fatturato rilasciate dal cliente (quindi per appalti ancora in corso) o comunque mediante contratti e fatture.</w:t>
      </w:r>
    </w:p>
    <w:p w:rsidR="00087F92" w:rsidRPr="00774D43" w:rsidRDefault="00087F92" w:rsidP="00D5129C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sectPr w:rsidR="00087F92" w:rsidRPr="00774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22AB"/>
    <w:multiLevelType w:val="multilevel"/>
    <w:tmpl w:val="70C2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30F80"/>
    <w:multiLevelType w:val="multilevel"/>
    <w:tmpl w:val="A74C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15CC6"/>
    <w:multiLevelType w:val="hybridMultilevel"/>
    <w:tmpl w:val="B2446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CA"/>
    <w:rsid w:val="00087F92"/>
    <w:rsid w:val="001341EE"/>
    <w:rsid w:val="001671CA"/>
    <w:rsid w:val="00252F4D"/>
    <w:rsid w:val="004C3667"/>
    <w:rsid w:val="004D3A8F"/>
    <w:rsid w:val="00774D43"/>
    <w:rsid w:val="00915098"/>
    <w:rsid w:val="00A40EEA"/>
    <w:rsid w:val="00A93CD6"/>
    <w:rsid w:val="00AE4BA0"/>
    <w:rsid w:val="00BA17F1"/>
    <w:rsid w:val="00CB5267"/>
    <w:rsid w:val="00D5129C"/>
    <w:rsid w:val="00D51E9D"/>
    <w:rsid w:val="00E44A0D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D0F2"/>
  <w15:chartTrackingRefBased/>
  <w15:docId w15:val="{54A2492A-1E33-48EE-9B5D-965896B2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5098"/>
    <w:rPr>
      <w:b/>
      <w:bCs/>
    </w:rPr>
  </w:style>
  <w:style w:type="paragraph" w:styleId="Paragrafoelenco">
    <w:name w:val="List Paragraph"/>
    <w:basedOn w:val="Normale"/>
    <w:uiPriority w:val="34"/>
    <w:qFormat/>
    <w:rsid w:val="00CB526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74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Corte costituzionale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Canale</dc:creator>
  <cp:keywords/>
  <dc:description/>
  <cp:lastModifiedBy>Brunella Talarico</cp:lastModifiedBy>
  <cp:revision>5</cp:revision>
  <dcterms:created xsi:type="dcterms:W3CDTF">2023-04-21T08:54:00Z</dcterms:created>
  <dcterms:modified xsi:type="dcterms:W3CDTF">2023-04-21T08:55:00Z</dcterms:modified>
</cp:coreProperties>
</file>